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F408AF">
        <w:rPr>
          <w:sz w:val="24"/>
          <w:szCs w:val="24"/>
        </w:rPr>
        <w:t>ельского поселения Елшанка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№__ от «__» ________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E2327E" w:rsidRPr="00CE4A47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>Администрации се</w:t>
      </w:r>
      <w:r w:rsidR="00F408AF">
        <w:rPr>
          <w:sz w:val="28"/>
          <w:szCs w:val="28"/>
        </w:rPr>
        <w:t>льского поселения Елшанка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Pr="006A210B">
        <w:rPr>
          <w:i/>
          <w:sz w:val="28"/>
          <w:szCs w:val="28"/>
        </w:rPr>
        <w:t xml:space="preserve"> </w:t>
      </w:r>
      <w:r w:rsidRPr="006A210B">
        <w:rPr>
          <w:sz w:val="28"/>
          <w:szCs w:val="28"/>
        </w:rPr>
        <w:t xml:space="preserve">с графиками </w:t>
      </w:r>
      <w:r w:rsidRPr="006A210B">
        <w:rPr>
          <w:sz w:val="28"/>
          <w:szCs w:val="28"/>
        </w:rPr>
        <w:lastRenderedPageBreak/>
        <w:t>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FD0F89" w:rsidRPr="006A210B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</w:t>
      </w:r>
      <w:r w:rsidRPr="006A210B">
        <w:rPr>
          <w:sz w:val="28"/>
          <w:szCs w:val="28"/>
        </w:rPr>
        <w:lastRenderedPageBreak/>
        <w:t xml:space="preserve">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166A66" w:rsidRPr="006A210B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Pr="006A210B">
        <w:rPr>
          <w:color w:val="000000"/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FA3499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 xml:space="preserve">О порядке рассмотрения </w:t>
      </w:r>
      <w:r w:rsidR="00D25869" w:rsidRPr="00D25869">
        <w:rPr>
          <w:sz w:val="28"/>
          <w:szCs w:val="28"/>
        </w:rPr>
        <w:lastRenderedPageBreak/>
        <w:t>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</w:t>
      </w:r>
      <w:r w:rsidR="00F408AF">
        <w:rPr>
          <w:sz w:val="28"/>
          <w:szCs w:val="28"/>
        </w:rPr>
        <w:t>поселения Елшанка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912A74">
        <w:rPr>
          <w:sz w:val="28"/>
          <w:szCs w:val="28"/>
        </w:rPr>
        <w:t xml:space="preserve"> </w:t>
      </w:r>
      <w:r w:rsidR="000F7F9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3E6B6F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  <w:proofErr w:type="gramEnd"/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 xml:space="preserve">, в органах </w:t>
      </w:r>
      <w:r w:rsidR="00A42CE2" w:rsidRPr="00A42CE2">
        <w:rPr>
          <w:sz w:val="28"/>
          <w:szCs w:val="28"/>
        </w:rPr>
        <w:lastRenderedPageBreak/>
        <w:t>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2331FC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</w:t>
      </w:r>
      <w:r w:rsidRPr="00160652">
        <w:rPr>
          <w:sz w:val="28"/>
          <w:szCs w:val="28"/>
        </w:rPr>
        <w:lastRenderedPageBreak/>
        <w:t>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C607D0" w:rsidRPr="007534C4">
        <w:rPr>
          <w:sz w:val="28"/>
          <w:szCs w:val="28"/>
          <w:lang w:eastAsia="ar-SA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</w:t>
      </w:r>
      <w:r w:rsidRPr="005F4E27">
        <w:rPr>
          <w:sz w:val="28"/>
          <w:szCs w:val="28"/>
        </w:rPr>
        <w:lastRenderedPageBreak/>
        <w:t xml:space="preserve">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36692C" w:rsidRPr="005F4E27">
        <w:rPr>
          <w:sz w:val="28"/>
          <w:szCs w:val="28"/>
        </w:rPr>
        <w:t xml:space="preserve">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</w:t>
      </w:r>
      <w:r w:rsidRPr="005F4E27">
        <w:rPr>
          <w:rFonts w:eastAsia="Calibri"/>
          <w:color w:val="000000"/>
          <w:sz w:val="28"/>
          <w:szCs w:val="28"/>
        </w:rPr>
        <w:lastRenderedPageBreak/>
        <w:t xml:space="preserve">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CC1992">
        <w:rPr>
          <w:rStyle w:val="T6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CC1992">
        <w:rPr>
          <w:rStyle w:val="T6"/>
          <w:sz w:val="28"/>
          <w:szCs w:val="28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осуществляет 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</w:t>
      </w:r>
      <w:r w:rsidRPr="00FF628D">
        <w:rPr>
          <w:sz w:val="28"/>
          <w:szCs w:val="28"/>
        </w:rPr>
        <w:lastRenderedPageBreak/>
        <w:t>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1C3025"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A7210D" w:rsidRPr="00CE4A47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</w:t>
      </w:r>
      <w:r w:rsidRPr="00FF628D">
        <w:rPr>
          <w:sz w:val="28"/>
          <w:szCs w:val="28"/>
        </w:rPr>
        <w:lastRenderedPageBreak/>
        <w:t xml:space="preserve">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F47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1C3025" w:rsidRPr="00CC0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lastRenderedPageBreak/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100060">
        <w:rPr>
          <w:color w:val="000000"/>
          <w:sz w:val="28"/>
          <w:szCs w:val="28"/>
        </w:rPr>
        <w:lastRenderedPageBreak/>
        <w:t xml:space="preserve">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</w:t>
      </w:r>
      <w:r w:rsidRPr="00100060">
        <w:rPr>
          <w:sz w:val="28"/>
          <w:szCs w:val="28"/>
        </w:rPr>
        <w:lastRenderedPageBreak/>
        <w:t xml:space="preserve">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</w:t>
      </w:r>
      <w:r w:rsidRPr="00100060">
        <w:rPr>
          <w:sz w:val="28"/>
          <w:szCs w:val="28"/>
        </w:rPr>
        <w:lastRenderedPageBreak/>
        <w:t xml:space="preserve">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</w:t>
      </w:r>
      <w:r w:rsidRPr="00100060">
        <w:rPr>
          <w:sz w:val="28"/>
          <w:szCs w:val="28"/>
        </w:rPr>
        <w:lastRenderedPageBreak/>
        <w:t>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  <w:r w:rsidRPr="00100060">
        <w:rPr>
          <w:iCs/>
          <w:sz w:val="28"/>
          <w:szCs w:val="28"/>
        </w:rPr>
        <w:t xml:space="preserve">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6F4F6C" w:rsidRPr="006F4F6C" w:rsidRDefault="006F4F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53D8A" w:rsidRDefault="00953D8A" w:rsidP="006F4F6C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53D8A" w:rsidRDefault="00953D8A" w:rsidP="006F4F6C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4F6C" w:rsidRPr="006F4F6C" w:rsidRDefault="006F4F6C" w:rsidP="006F4F6C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F4F6C">
        <w:rPr>
          <w:sz w:val="28"/>
          <w:szCs w:val="28"/>
        </w:rPr>
        <w:t>Приложение 1</w:t>
      </w:r>
    </w:p>
    <w:p w:rsidR="006F4F6C" w:rsidRPr="006F4F6C" w:rsidRDefault="006F4F6C" w:rsidP="006F4F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F4F6C">
        <w:rPr>
          <w:sz w:val="28"/>
          <w:szCs w:val="28"/>
        </w:rPr>
        <w:t xml:space="preserve">к </w:t>
      </w:r>
      <w:r w:rsidR="00953D8A">
        <w:rPr>
          <w:sz w:val="28"/>
          <w:szCs w:val="28"/>
        </w:rPr>
        <w:t>Административному</w:t>
      </w:r>
      <w:r w:rsidRPr="006F4F6C">
        <w:rPr>
          <w:sz w:val="28"/>
          <w:szCs w:val="28"/>
        </w:rPr>
        <w:t xml:space="preserve"> регламенту</w:t>
      </w:r>
    </w:p>
    <w:p w:rsidR="006F4F6C" w:rsidRPr="006F4F6C" w:rsidRDefault="006F4F6C" w:rsidP="006F4F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F4F6C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6F4F6C" w:rsidRPr="006F4F6C" w:rsidRDefault="006F4F6C" w:rsidP="006F4F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4F6C" w:rsidRPr="006F4F6C" w:rsidRDefault="006F4F6C" w:rsidP="006F4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6F4F6C" w:rsidRPr="006F4F6C" w:rsidRDefault="006F4F6C" w:rsidP="006F4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4F6C">
        <w:rPr>
          <w:sz w:val="28"/>
          <w:szCs w:val="28"/>
        </w:rPr>
        <w:t>КОНТАКТНЫЕ КООРДИНАТЫ</w:t>
      </w:r>
    </w:p>
    <w:p w:rsidR="006F4F6C" w:rsidRPr="006F4F6C" w:rsidRDefault="006F4F6C" w:rsidP="006F4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4F6C">
        <w:rPr>
          <w:sz w:val="28"/>
          <w:szCs w:val="28"/>
        </w:rPr>
        <w:t>УПОЛНОМОЧЕННОГО ОРГАНА</w:t>
      </w:r>
    </w:p>
    <w:p w:rsidR="006F4F6C" w:rsidRPr="006F4F6C" w:rsidRDefault="006F4F6C" w:rsidP="006F4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6F4F6C" w:rsidRPr="006F4F6C" w:rsidTr="0079031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 xml:space="preserve">446521, Самарская область, Сергиевский район, </w:t>
            </w:r>
            <w:proofErr w:type="gramStart"/>
            <w:r w:rsidRPr="006F4F6C">
              <w:rPr>
                <w:sz w:val="28"/>
                <w:szCs w:val="28"/>
              </w:rPr>
              <w:t>с</w:t>
            </w:r>
            <w:proofErr w:type="gramEnd"/>
            <w:r w:rsidRPr="006F4F6C">
              <w:rPr>
                <w:sz w:val="28"/>
                <w:szCs w:val="28"/>
              </w:rPr>
              <w:t xml:space="preserve">. </w:t>
            </w:r>
            <w:proofErr w:type="gramStart"/>
            <w:r w:rsidRPr="006F4F6C">
              <w:rPr>
                <w:sz w:val="28"/>
                <w:szCs w:val="28"/>
              </w:rPr>
              <w:t>Елшанка</w:t>
            </w:r>
            <w:proofErr w:type="gramEnd"/>
            <w:r w:rsidRPr="006F4F6C">
              <w:rPr>
                <w:sz w:val="28"/>
                <w:szCs w:val="28"/>
              </w:rPr>
              <w:t>, ул. Кольцова 4</w:t>
            </w:r>
          </w:p>
        </w:tc>
      </w:tr>
      <w:tr w:rsidR="006F4F6C" w:rsidRPr="006F4F6C" w:rsidTr="0079031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 xml:space="preserve">446521, Самарская область, Сергиевский район, </w:t>
            </w:r>
            <w:proofErr w:type="gramStart"/>
            <w:r w:rsidRPr="006F4F6C">
              <w:rPr>
                <w:sz w:val="28"/>
                <w:szCs w:val="28"/>
              </w:rPr>
              <w:t>с</w:t>
            </w:r>
            <w:proofErr w:type="gramEnd"/>
            <w:r w:rsidRPr="006F4F6C">
              <w:rPr>
                <w:sz w:val="28"/>
                <w:szCs w:val="28"/>
              </w:rPr>
              <w:t xml:space="preserve">. </w:t>
            </w:r>
            <w:proofErr w:type="gramStart"/>
            <w:r w:rsidRPr="006F4F6C">
              <w:rPr>
                <w:sz w:val="28"/>
                <w:szCs w:val="28"/>
              </w:rPr>
              <w:t>Елшанка</w:t>
            </w:r>
            <w:proofErr w:type="gramEnd"/>
            <w:r w:rsidRPr="006F4F6C">
              <w:rPr>
                <w:sz w:val="28"/>
                <w:szCs w:val="28"/>
              </w:rPr>
              <w:t>, ул. Кольцова 4</w:t>
            </w:r>
          </w:p>
        </w:tc>
      </w:tr>
      <w:tr w:rsidR="006F4F6C" w:rsidRPr="006F4F6C" w:rsidTr="0079031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 xml:space="preserve">Понедельник – четверг 8.00 – 17.00  </w:t>
            </w:r>
          </w:p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>Пятница – 8.00 - 16.00</w:t>
            </w:r>
          </w:p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>обед 12.00-13.00</w:t>
            </w:r>
          </w:p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>суббота, воскресенье - выходной</w:t>
            </w:r>
          </w:p>
        </w:tc>
      </w:tr>
      <w:tr w:rsidR="006F4F6C" w:rsidRPr="006F4F6C" w:rsidTr="0079031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>8 (846) 55 46-2-30</w:t>
            </w:r>
          </w:p>
        </w:tc>
      </w:tr>
      <w:tr w:rsidR="006F4F6C" w:rsidRPr="006F4F6C" w:rsidTr="0079031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6F4F6C">
              <w:rPr>
                <w:sz w:val="28"/>
                <w:szCs w:val="28"/>
                <w:lang w:val="en-US"/>
              </w:rPr>
              <w:t>www.sergievsk.ru</w:t>
            </w:r>
          </w:p>
        </w:tc>
      </w:tr>
      <w:tr w:rsidR="006F4F6C" w:rsidRPr="006F4F6C" w:rsidTr="0079031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F4F6C">
              <w:rPr>
                <w:sz w:val="28"/>
                <w:szCs w:val="28"/>
              </w:rPr>
              <w:t>E-</w:t>
            </w:r>
            <w:proofErr w:type="spellStart"/>
            <w:r w:rsidRPr="006F4F6C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6C" w:rsidRPr="006F4F6C" w:rsidRDefault="006F4F6C" w:rsidP="0079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6F4F6C">
              <w:rPr>
                <w:sz w:val="28"/>
                <w:szCs w:val="28"/>
                <w:lang w:val="en-US"/>
              </w:rPr>
              <w:t>Elshanka_adm@mail.ru</w:t>
            </w:r>
          </w:p>
        </w:tc>
      </w:tr>
    </w:tbl>
    <w:p w:rsidR="006F4F6C" w:rsidRDefault="006F4F6C" w:rsidP="006F4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4F6C" w:rsidRDefault="006F4F6C" w:rsidP="006F4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4F6C" w:rsidRDefault="006F4F6C" w:rsidP="006F4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4F6C" w:rsidRDefault="006F4F6C" w:rsidP="006F4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953D8A" w:rsidRDefault="00953D8A" w:rsidP="006F4F6C">
      <w:pPr>
        <w:ind w:left="3969"/>
        <w:jc w:val="right"/>
        <w:rPr>
          <w:sz w:val="28"/>
          <w:szCs w:val="28"/>
        </w:rPr>
      </w:pPr>
    </w:p>
    <w:p w:rsidR="006F4F6C" w:rsidRPr="00EF7B87" w:rsidRDefault="006F4F6C" w:rsidP="006F4F6C">
      <w:pPr>
        <w:ind w:left="3969"/>
        <w:jc w:val="right"/>
        <w:rPr>
          <w:sz w:val="28"/>
          <w:szCs w:val="28"/>
        </w:rPr>
      </w:pPr>
      <w:bookmarkStart w:id="5" w:name="_GoBack"/>
      <w:bookmarkEnd w:id="5"/>
      <w:r w:rsidRPr="00EF7B8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</w:t>
      </w:r>
    </w:p>
    <w:p w:rsidR="006F4F6C" w:rsidRPr="006F4F6C" w:rsidRDefault="006F4F6C" w:rsidP="006F4F6C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F4F6C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6F4F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6F4F6C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6F4F6C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6F4F6C" w:rsidRDefault="006F4F6C" w:rsidP="006F4F6C">
      <w:pPr>
        <w:jc w:val="right"/>
        <w:rPr>
          <w:sz w:val="26"/>
          <w:szCs w:val="26"/>
        </w:rPr>
      </w:pPr>
    </w:p>
    <w:p w:rsidR="006F4F6C" w:rsidRDefault="006F4F6C" w:rsidP="006F4F6C">
      <w:pPr>
        <w:ind w:left="3545" w:firstLine="424"/>
        <w:jc w:val="right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6F4F6C" w:rsidRPr="00CC30C2" w:rsidRDefault="006F4F6C" w:rsidP="006F4F6C">
      <w:pPr>
        <w:jc w:val="right"/>
      </w:pPr>
      <w:r>
        <w:t xml:space="preserve">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6F4F6C" w:rsidRDefault="006F4F6C" w:rsidP="006F4F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6F4F6C" w:rsidRDefault="006F4F6C" w:rsidP="006F4F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6F4F6C" w:rsidRDefault="006F4F6C" w:rsidP="006F4F6C">
      <w:pPr>
        <w:ind w:left="4963" w:firstLine="709"/>
        <w:jc w:val="right"/>
      </w:pPr>
      <w:r w:rsidRPr="0066514E">
        <w:t>(ФИО заявителя)</w:t>
      </w:r>
    </w:p>
    <w:p w:rsidR="006F4F6C" w:rsidRDefault="006F4F6C" w:rsidP="006F4F6C">
      <w:pPr>
        <w:jc w:val="right"/>
      </w:pPr>
      <w:r>
        <w:t xml:space="preserve">                                                                                 _________________________________________________</w:t>
      </w:r>
    </w:p>
    <w:p w:rsidR="006F4F6C" w:rsidRDefault="006F4F6C" w:rsidP="006F4F6C">
      <w:pPr>
        <w:jc w:val="right"/>
      </w:pPr>
      <w:r>
        <w:t xml:space="preserve">                                                                                 _________________________________________________</w:t>
      </w:r>
    </w:p>
    <w:p w:rsidR="006F4F6C" w:rsidRPr="00AA1C79" w:rsidRDefault="006F4F6C" w:rsidP="006F4F6C">
      <w:pPr>
        <w:jc w:val="right"/>
        <w:rPr>
          <w:sz w:val="26"/>
          <w:szCs w:val="26"/>
        </w:rPr>
      </w:pPr>
      <w:r>
        <w:t xml:space="preserve">                                                                                                       (почтовый адрес)</w:t>
      </w:r>
    </w:p>
    <w:p w:rsidR="006F4F6C" w:rsidRDefault="006F4F6C" w:rsidP="006F4F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6F4F6C" w:rsidRPr="00AA1C79" w:rsidRDefault="006F4F6C" w:rsidP="006F4F6C">
      <w:pPr>
        <w:jc w:val="right"/>
      </w:pPr>
      <w:r>
        <w:t xml:space="preserve">                                                                       </w:t>
      </w:r>
      <w:r w:rsidRPr="00AA1C79">
        <w:t>(адрес электронной почты, при наличии)</w:t>
      </w:r>
    </w:p>
    <w:p w:rsidR="006F4F6C" w:rsidRDefault="006F4F6C" w:rsidP="006F4F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6F4F6C" w:rsidRPr="00AA1C79" w:rsidRDefault="006F4F6C" w:rsidP="006F4F6C">
      <w:pPr>
        <w:jc w:val="right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6F4F6C" w:rsidRDefault="006F4F6C" w:rsidP="006F4F6C">
      <w:pPr>
        <w:jc w:val="center"/>
        <w:rPr>
          <w:sz w:val="26"/>
          <w:szCs w:val="26"/>
        </w:rPr>
      </w:pPr>
    </w:p>
    <w:p w:rsidR="006F4F6C" w:rsidRDefault="006F4F6C" w:rsidP="006F4F6C">
      <w:pPr>
        <w:jc w:val="center"/>
        <w:rPr>
          <w:sz w:val="26"/>
          <w:szCs w:val="26"/>
        </w:rPr>
      </w:pPr>
    </w:p>
    <w:p w:rsidR="006F4F6C" w:rsidRDefault="006F4F6C" w:rsidP="006F4F6C">
      <w:pPr>
        <w:jc w:val="center"/>
        <w:rPr>
          <w:sz w:val="26"/>
          <w:szCs w:val="26"/>
        </w:rPr>
      </w:pPr>
    </w:p>
    <w:p w:rsidR="006F4F6C" w:rsidRDefault="006F4F6C" w:rsidP="006F4F6C">
      <w:pPr>
        <w:jc w:val="center"/>
        <w:rPr>
          <w:sz w:val="26"/>
          <w:szCs w:val="26"/>
        </w:rPr>
      </w:pPr>
    </w:p>
    <w:p w:rsidR="006F4F6C" w:rsidRPr="00D953BD" w:rsidRDefault="006F4F6C" w:rsidP="006F4F6C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6F4F6C" w:rsidRPr="00B505F2" w:rsidRDefault="006F4F6C" w:rsidP="006F4F6C">
      <w:pPr>
        <w:jc w:val="both"/>
      </w:pPr>
    </w:p>
    <w:p w:rsidR="006F4F6C" w:rsidRDefault="006F4F6C" w:rsidP="006F4F6C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6F4F6C" w:rsidRDefault="006F4F6C" w:rsidP="006F4F6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6F4F6C" w:rsidRDefault="006F4F6C" w:rsidP="006F4F6C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6F4F6C" w:rsidRDefault="006F4F6C" w:rsidP="006F4F6C">
      <w:pPr>
        <w:jc w:val="both"/>
        <w:rPr>
          <w:sz w:val="26"/>
          <w:szCs w:val="26"/>
        </w:rPr>
      </w:pPr>
    </w:p>
    <w:p w:rsidR="006F4F6C" w:rsidRDefault="006F4F6C" w:rsidP="006F4F6C">
      <w:pPr>
        <w:ind w:firstLine="708"/>
        <w:jc w:val="both"/>
        <w:rPr>
          <w:sz w:val="26"/>
          <w:szCs w:val="26"/>
        </w:rPr>
      </w:pPr>
    </w:p>
    <w:p w:rsidR="006F4F6C" w:rsidRPr="00A53697" w:rsidRDefault="006F4F6C" w:rsidP="006F4F6C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6F4F6C" w:rsidRPr="00A53697" w:rsidRDefault="006F4F6C" w:rsidP="006F4F6C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6F4F6C" w:rsidRPr="00A53697" w:rsidRDefault="006F4F6C" w:rsidP="006F4F6C">
      <w:pPr>
        <w:pStyle w:val="Default"/>
        <w:rPr>
          <w:color w:val="auto"/>
          <w:sz w:val="26"/>
          <w:szCs w:val="26"/>
        </w:rPr>
      </w:pPr>
    </w:p>
    <w:p w:rsidR="006F4F6C" w:rsidRDefault="006F4F6C" w:rsidP="006F4F6C">
      <w:pPr>
        <w:pStyle w:val="Default"/>
        <w:rPr>
          <w:color w:val="auto"/>
        </w:rPr>
      </w:pPr>
    </w:p>
    <w:p w:rsidR="006F4F6C" w:rsidRPr="00F645E2" w:rsidRDefault="006F4F6C" w:rsidP="006F4F6C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6F4F6C" w:rsidRDefault="006F4F6C" w:rsidP="006F4F6C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953D8A" w:rsidRDefault="00953D8A" w:rsidP="006F4F6C">
      <w:pPr>
        <w:ind w:left="2694" w:firstLine="708"/>
        <w:jc w:val="right"/>
        <w:rPr>
          <w:sz w:val="28"/>
          <w:szCs w:val="28"/>
        </w:rPr>
      </w:pPr>
    </w:p>
    <w:p w:rsidR="006F4F6C" w:rsidRPr="00FB485F" w:rsidRDefault="00953D8A" w:rsidP="006F4F6C">
      <w:pPr>
        <w:ind w:left="269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F4F6C">
        <w:rPr>
          <w:sz w:val="28"/>
          <w:szCs w:val="28"/>
        </w:rPr>
        <w:t xml:space="preserve"> 3</w:t>
      </w:r>
    </w:p>
    <w:p w:rsidR="006F4F6C" w:rsidRPr="00FB485F" w:rsidRDefault="006F4F6C" w:rsidP="006F4F6C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6F4F6C" w:rsidRDefault="006F4F6C" w:rsidP="006F4F6C">
      <w:pPr>
        <w:rPr>
          <w:sz w:val="28"/>
          <w:szCs w:val="28"/>
        </w:rPr>
      </w:pPr>
    </w:p>
    <w:p w:rsidR="006F4F6C" w:rsidRDefault="006F4F6C" w:rsidP="006F4F6C">
      <w:pPr>
        <w:rPr>
          <w:sz w:val="28"/>
          <w:szCs w:val="28"/>
        </w:rPr>
      </w:pPr>
    </w:p>
    <w:p w:rsidR="006F4F6C" w:rsidRDefault="006F4F6C" w:rsidP="006F4F6C">
      <w:pPr>
        <w:rPr>
          <w:sz w:val="28"/>
          <w:szCs w:val="28"/>
        </w:rPr>
      </w:pPr>
    </w:p>
    <w:p w:rsidR="006F4F6C" w:rsidRDefault="006F4F6C" w:rsidP="006F4F6C">
      <w:pPr>
        <w:rPr>
          <w:sz w:val="28"/>
          <w:szCs w:val="28"/>
        </w:rPr>
      </w:pPr>
    </w:p>
    <w:p w:rsidR="006F4F6C" w:rsidRDefault="006F4F6C" w:rsidP="006F4F6C">
      <w:pPr>
        <w:rPr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49CCD" wp14:editId="79002F2C">
                <wp:simplePos x="0" y="0"/>
                <wp:positionH relativeFrom="column">
                  <wp:posOffset>175895</wp:posOffset>
                </wp:positionH>
                <wp:positionV relativeFrom="paragraph">
                  <wp:posOffset>83185</wp:posOffset>
                </wp:positionV>
                <wp:extent cx="4882515" cy="609600"/>
                <wp:effectExtent l="0" t="0" r="13335" b="19050"/>
                <wp:wrapNone/>
                <wp:docPr id="1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2515" cy="609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F6C" w:rsidRPr="00FB485F" w:rsidRDefault="006F4F6C" w:rsidP="006F4F6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FB485F">
                              <w:rPr>
                                <w:sz w:val="28"/>
                                <w:szCs w:val="28"/>
                              </w:rPr>
                              <w:t>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.85pt;margin-top:6.55pt;width:384.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I4nIuPg&#10;AAAACQEAAA8AAAAAAAAAAAAAAAAADwUAAGRycy9kb3ducmV2LnhtbFBLBQYAAAAABAAEAPMAAAAc&#10;BgAAAAA=&#10;" fillcolor="white [3201]" strokecolor="black [3213]">
                <v:path arrowok="t"/>
                <v:textbox>
                  <w:txbxContent>
                    <w:p w:rsidR="006F4F6C" w:rsidRPr="00FB485F" w:rsidRDefault="006F4F6C" w:rsidP="006F4F6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FB485F">
                        <w:rPr>
                          <w:sz w:val="28"/>
                          <w:szCs w:val="28"/>
                        </w:rPr>
                        <w:t>риём и регистрация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F4F6C" w:rsidRDefault="006F4F6C" w:rsidP="006F4F6C">
      <w:pPr>
        <w:rPr>
          <w:sz w:val="28"/>
          <w:szCs w:val="28"/>
        </w:rPr>
      </w:pPr>
    </w:p>
    <w:p w:rsidR="006F4F6C" w:rsidRDefault="006F4F6C" w:rsidP="006F4F6C">
      <w:pPr>
        <w:rPr>
          <w:sz w:val="18"/>
          <w:szCs w:val="18"/>
        </w:rPr>
      </w:pPr>
    </w:p>
    <w:p w:rsidR="006F4F6C" w:rsidRDefault="006F4F6C" w:rsidP="006F4F6C">
      <w:pPr>
        <w:rPr>
          <w:sz w:val="18"/>
          <w:szCs w:val="18"/>
        </w:rPr>
      </w:pPr>
    </w:p>
    <w:p w:rsidR="006F4F6C" w:rsidRDefault="006F4F6C" w:rsidP="006F4F6C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5E7A3" wp14:editId="2D841CDA">
                <wp:simplePos x="0" y="0"/>
                <wp:positionH relativeFrom="column">
                  <wp:posOffset>2577162</wp:posOffset>
                </wp:positionH>
                <wp:positionV relativeFrom="paragraph">
                  <wp:posOffset>84731</wp:posOffset>
                </wp:positionV>
                <wp:extent cx="8255" cy="485775"/>
                <wp:effectExtent l="38100" t="0" r="67945" b="4762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02.95pt;margin-top:6.65pt;width:.6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Dpsc1H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053995B" wp14:editId="622F20CE">
                <wp:simplePos x="0" y="0"/>
                <wp:positionH relativeFrom="column">
                  <wp:posOffset>3206114</wp:posOffset>
                </wp:positionH>
                <wp:positionV relativeFrom="paragraph">
                  <wp:posOffset>1143000</wp:posOffset>
                </wp:positionV>
                <wp:extent cx="0" cy="66675"/>
                <wp:effectExtent l="0" t="0" r="19050" b="9525"/>
                <wp:wrapNone/>
                <wp:docPr id="1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    <o:lock v:ext="edit" shapetype="f"/>
              </v:line>
            </w:pict>
          </mc:Fallback>
        </mc:AlternateContent>
      </w:r>
      <w:r>
        <w:rPr>
          <w:sz w:val="18"/>
          <w:szCs w:val="18"/>
        </w:rPr>
        <w:tab/>
      </w:r>
    </w:p>
    <w:p w:rsidR="006F4F6C" w:rsidRPr="0047629A" w:rsidRDefault="006F4F6C" w:rsidP="006F4F6C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A7C7E" wp14:editId="3E56B8B4">
                <wp:simplePos x="0" y="0"/>
                <wp:positionH relativeFrom="column">
                  <wp:posOffset>732790</wp:posOffset>
                </wp:positionH>
                <wp:positionV relativeFrom="paragraph">
                  <wp:posOffset>3814445</wp:posOffset>
                </wp:positionV>
                <wp:extent cx="7620" cy="454025"/>
                <wp:effectExtent l="60325" t="6985" r="46355" b="1524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5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7.7pt;margin-top:300.35pt;width:.6pt;height:3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89D72" wp14:editId="1FBCDFE7">
                <wp:simplePos x="0" y="0"/>
                <wp:positionH relativeFrom="column">
                  <wp:posOffset>4247515</wp:posOffset>
                </wp:positionH>
                <wp:positionV relativeFrom="paragraph">
                  <wp:posOffset>2352040</wp:posOffset>
                </wp:positionV>
                <wp:extent cx="0" cy="643890"/>
                <wp:effectExtent l="60325" t="11430" r="53975" b="2095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34.45pt;margin-top:185.2pt;width:0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67151" wp14:editId="42960672">
                <wp:simplePos x="0" y="0"/>
                <wp:positionH relativeFrom="column">
                  <wp:posOffset>661035</wp:posOffset>
                </wp:positionH>
                <wp:positionV relativeFrom="paragraph">
                  <wp:posOffset>2352040</wp:posOffset>
                </wp:positionV>
                <wp:extent cx="0" cy="643890"/>
                <wp:effectExtent l="55245" t="11430" r="59055" b="2095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2.05pt;margin-top:185.2pt;width:0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20AF9" wp14:editId="67EBB7D7">
                <wp:simplePos x="0" y="0"/>
                <wp:positionH relativeFrom="column">
                  <wp:posOffset>3206115</wp:posOffset>
                </wp:positionH>
                <wp:positionV relativeFrom="paragraph">
                  <wp:posOffset>1188720</wp:posOffset>
                </wp:positionV>
                <wp:extent cx="945515" cy="503555"/>
                <wp:effectExtent l="9525" t="10160" r="35560" b="5778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515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2.45pt;margin-top:93.6pt;width:74.4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F89496" wp14:editId="53692465">
                <wp:simplePos x="0" y="0"/>
                <wp:positionH relativeFrom="column">
                  <wp:posOffset>661035</wp:posOffset>
                </wp:positionH>
                <wp:positionV relativeFrom="paragraph">
                  <wp:posOffset>1188720</wp:posOffset>
                </wp:positionV>
                <wp:extent cx="580390" cy="503555"/>
                <wp:effectExtent l="45720" t="10160" r="12065" b="4826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2.05pt;margin-top:93.6pt;width:45.7pt;height:39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611BC" wp14:editId="15030103">
                <wp:simplePos x="0" y="0"/>
                <wp:positionH relativeFrom="column">
                  <wp:posOffset>2912745</wp:posOffset>
                </wp:positionH>
                <wp:positionV relativeFrom="paragraph">
                  <wp:posOffset>2995930</wp:posOffset>
                </wp:positionV>
                <wp:extent cx="2457450" cy="866775"/>
                <wp:effectExtent l="11430" t="7620" r="7620" b="1143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6C" w:rsidRPr="00920CC4" w:rsidRDefault="006F4F6C" w:rsidP="006F4F6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Принятие решение об отказе в предоставлении муниципальной услуги </w:t>
                            </w:r>
                          </w:p>
                          <w:p w:rsidR="006F4F6C" w:rsidRPr="00920CC4" w:rsidRDefault="006F4F6C" w:rsidP="006F4F6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229.35pt;margin-top:235.9pt;width:193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    <v:textbox>
                  <w:txbxContent>
                    <w:p w:rsidR="006F4F6C" w:rsidRPr="00920CC4" w:rsidRDefault="006F4F6C" w:rsidP="006F4F6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Принятие решение об отказе в предоставлении муниципальной услуги </w:t>
                      </w:r>
                    </w:p>
                    <w:p w:rsidR="006F4F6C" w:rsidRPr="00920CC4" w:rsidRDefault="006F4F6C" w:rsidP="006F4F6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A8DE8" wp14:editId="5A32D180">
                <wp:simplePos x="0" y="0"/>
                <wp:positionH relativeFrom="column">
                  <wp:posOffset>-346710</wp:posOffset>
                </wp:positionH>
                <wp:positionV relativeFrom="paragraph">
                  <wp:posOffset>2995930</wp:posOffset>
                </wp:positionV>
                <wp:extent cx="2457450" cy="818515"/>
                <wp:effectExtent l="9525" t="7620" r="9525" b="1206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6C" w:rsidRPr="00920CC4" w:rsidRDefault="006F4F6C" w:rsidP="006F4F6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Принятие решение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-27.3pt;margin-top:235.9pt;width:193.5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    <v:textbox>
                  <w:txbxContent>
                    <w:p w:rsidR="006F4F6C" w:rsidRPr="00920CC4" w:rsidRDefault="006F4F6C" w:rsidP="006F4F6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Принятие решение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BFBA1" wp14:editId="7D115169">
                <wp:simplePos x="0" y="0"/>
                <wp:positionH relativeFrom="column">
                  <wp:posOffset>-346710</wp:posOffset>
                </wp:positionH>
                <wp:positionV relativeFrom="paragraph">
                  <wp:posOffset>4268470</wp:posOffset>
                </wp:positionV>
                <wp:extent cx="2457450" cy="659765"/>
                <wp:effectExtent l="9525" t="13335" r="9525" b="1270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6C" w:rsidRPr="00920CC4" w:rsidRDefault="006F4F6C" w:rsidP="006F4F6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(направление) заявителю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-27.3pt;margin-top:336.1pt;width:193.5pt;height:5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    <v:textbox>
                  <w:txbxContent>
                    <w:p w:rsidR="006F4F6C" w:rsidRPr="00920CC4" w:rsidRDefault="006F4F6C" w:rsidP="006F4F6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(направление) заявителю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D2800" wp14:editId="22A44F69">
                <wp:simplePos x="0" y="0"/>
                <wp:positionH relativeFrom="column">
                  <wp:posOffset>2912745</wp:posOffset>
                </wp:positionH>
                <wp:positionV relativeFrom="paragraph">
                  <wp:posOffset>1692275</wp:posOffset>
                </wp:positionV>
                <wp:extent cx="2457450" cy="659765"/>
                <wp:effectExtent l="11430" t="8890" r="7620" b="762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6C" w:rsidRPr="00920CC4" w:rsidRDefault="006F4F6C" w:rsidP="006F4F6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20CC4">
                              <w:rPr>
                                <w:sz w:val="26"/>
                                <w:szCs w:val="26"/>
                              </w:rPr>
                              <w:t xml:space="preserve">Документы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не </w:t>
                            </w:r>
                            <w:r w:rsidRPr="00920CC4">
                              <w:rPr>
                                <w:sz w:val="26"/>
                                <w:szCs w:val="26"/>
                              </w:rPr>
                              <w:t>соответствуют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229.35pt;margin-top:133.25pt;width:193.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    <v:textbox>
                  <w:txbxContent>
                    <w:p w:rsidR="006F4F6C" w:rsidRPr="00920CC4" w:rsidRDefault="006F4F6C" w:rsidP="006F4F6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20CC4">
                        <w:rPr>
                          <w:sz w:val="26"/>
                          <w:szCs w:val="26"/>
                        </w:rPr>
                        <w:t xml:space="preserve">Документы </w:t>
                      </w:r>
                      <w:r>
                        <w:rPr>
                          <w:sz w:val="26"/>
                          <w:szCs w:val="26"/>
                        </w:rPr>
                        <w:t xml:space="preserve">не </w:t>
                      </w:r>
                      <w:r w:rsidRPr="00920CC4">
                        <w:rPr>
                          <w:sz w:val="26"/>
                          <w:szCs w:val="26"/>
                        </w:rPr>
                        <w:t>соответствуют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72698" wp14:editId="1FE05895">
                <wp:simplePos x="0" y="0"/>
                <wp:positionH relativeFrom="column">
                  <wp:posOffset>-404495</wp:posOffset>
                </wp:positionH>
                <wp:positionV relativeFrom="paragraph">
                  <wp:posOffset>1692275</wp:posOffset>
                </wp:positionV>
                <wp:extent cx="2457450" cy="659765"/>
                <wp:effectExtent l="8890" t="8890" r="10160" b="762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6C" w:rsidRPr="00920CC4" w:rsidRDefault="006F4F6C" w:rsidP="006F4F6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20CC4">
                              <w:rPr>
                                <w:sz w:val="26"/>
                                <w:szCs w:val="26"/>
                              </w:rPr>
                              <w:t>Документы соответствуют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-31.85pt;margin-top:133.25pt;width:193.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    <v:textbox>
                  <w:txbxContent>
                    <w:p w:rsidR="006F4F6C" w:rsidRPr="00920CC4" w:rsidRDefault="006F4F6C" w:rsidP="006F4F6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20CC4">
                        <w:rPr>
                          <w:sz w:val="26"/>
                          <w:szCs w:val="26"/>
                        </w:rPr>
                        <w:t>Документы соответствуют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30AEA" wp14:editId="7BB6BB73">
                <wp:simplePos x="0" y="0"/>
                <wp:positionH relativeFrom="column">
                  <wp:posOffset>955040</wp:posOffset>
                </wp:positionH>
                <wp:positionV relativeFrom="paragraph">
                  <wp:posOffset>436245</wp:posOffset>
                </wp:positionV>
                <wp:extent cx="3438525" cy="7524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8525" cy="752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F6C" w:rsidRPr="009B3DCC" w:rsidRDefault="006F4F6C" w:rsidP="006F4F6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Проверка документов на наличие оснований для отказа в предоставлении муниципальной услуги</w:t>
                            </w:r>
                            <w:r w:rsidRPr="009B3DC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75.2pt;margin-top:34.35pt;width:270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    <v:path arrowok="t"/>
                <v:textbox>
                  <w:txbxContent>
                    <w:p w:rsidR="006F4F6C" w:rsidRPr="009B3DCC" w:rsidRDefault="006F4F6C" w:rsidP="006F4F6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Проверка документов на наличие оснований для отказа в предоставлении муниципальной услуги</w:t>
                      </w:r>
                      <w:r w:rsidRPr="009B3DCC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F4F6C" w:rsidRPr="00AD1FE9" w:rsidRDefault="006F4F6C" w:rsidP="006F4F6C">
      <w:pPr>
        <w:pStyle w:val="Default"/>
        <w:rPr>
          <w:color w:val="auto"/>
          <w:sz w:val="26"/>
          <w:szCs w:val="26"/>
        </w:rPr>
      </w:pPr>
    </w:p>
    <w:p w:rsidR="006F4F6C" w:rsidRPr="006F4F6C" w:rsidRDefault="006F4F6C" w:rsidP="006F4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4F6C" w:rsidRPr="006F4F6C" w:rsidRDefault="006F4F6C" w:rsidP="006F4F6C">
      <w:pPr>
        <w:rPr>
          <w:sz w:val="28"/>
          <w:szCs w:val="28"/>
        </w:rPr>
      </w:pPr>
    </w:p>
    <w:p w:rsidR="006F4F6C" w:rsidRPr="006F4F6C" w:rsidRDefault="006F4F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6F4F6C" w:rsidRPr="006F4F6C" w:rsidSect="00953D8A">
      <w:headerReference w:type="default" r:id="rId11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F5" w:rsidRDefault="005876F5" w:rsidP="00AA6A8A">
      <w:r>
        <w:separator/>
      </w:r>
    </w:p>
  </w:endnote>
  <w:endnote w:type="continuationSeparator" w:id="0">
    <w:p w:rsidR="005876F5" w:rsidRDefault="005876F5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F5" w:rsidRDefault="005876F5" w:rsidP="00AA6A8A">
      <w:r>
        <w:separator/>
      </w:r>
    </w:p>
  </w:footnote>
  <w:footnote w:type="continuationSeparator" w:id="0">
    <w:p w:rsidR="005876F5" w:rsidRDefault="005876F5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1C42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A57">
          <w:rPr>
            <w:noProof/>
          </w:rPr>
          <w:t>29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6F5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4A57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5091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6F4F6C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53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3D8A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17D1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08AF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6F4F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6F4F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42CC-D34B-4858-94AB-C9A4938B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7184</Words>
  <Characters>40953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24</cp:revision>
  <cp:lastPrinted>2015-07-09T11:40:00Z</cp:lastPrinted>
  <dcterms:created xsi:type="dcterms:W3CDTF">2015-12-15T11:54:00Z</dcterms:created>
  <dcterms:modified xsi:type="dcterms:W3CDTF">2016-02-19T09:30:00Z</dcterms:modified>
</cp:coreProperties>
</file>